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27" w:rsidRDefault="007702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kjulVedPrint" style="position:absolute;margin-left:49.6pt;margin-top:28.35pt;width:249pt;height:49.5pt;z-index:251658240;mso-wrap-distance-left:0;mso-wrap-distance-right:0;mso-position-horizontal-relative:page;mso-position-vertical-relative:page" o:allowincell="f">
            <v:imagedata r:id="rId7" o:title="bbf_logo_pms"/>
            <w10:wrap type="square" anchorx="page" anchory="page"/>
          </v:shape>
        </w:pict>
      </w:r>
      <w:bookmarkStart w:id="0" w:name="Start"/>
      <w:bookmarkEnd w:id="0"/>
      <w:r w:rsidR="00241BD6">
        <w:t>Konsekvenserne af æ</w:t>
      </w:r>
      <w:r w:rsidR="0056322C">
        <w:t>ndringer</w:t>
      </w:r>
      <w:r w:rsidR="00241BD6">
        <w:t>ne</w:t>
      </w:r>
      <w:r w:rsidR="0056322C">
        <w:t xml:space="preserve"> i fondsloven</w:t>
      </w:r>
    </w:p>
    <w:p w:rsidR="0056322C" w:rsidRDefault="0056322C"/>
    <w:p w:rsidR="0056322C" w:rsidRDefault="0056322C">
      <w:r>
        <w:t xml:space="preserve">Som det vil være en del bekendt blev der i 2014 foretaget væsentlige ændringer i den lov, der regulerer de </w:t>
      </w:r>
      <w:r w:rsidR="00851105">
        <w:t xml:space="preserve">almindelige </w:t>
      </w:r>
      <w:r>
        <w:t xml:space="preserve">fonde, </w:t>
      </w:r>
      <w:r w:rsidR="00851105">
        <w:t xml:space="preserve">d.v.s. fonde </w:t>
      </w:r>
      <w:r>
        <w:t xml:space="preserve">der ikke er erhvervsdrivende. </w:t>
      </w:r>
    </w:p>
    <w:p w:rsidR="0056322C" w:rsidRDefault="0056322C"/>
    <w:p w:rsidR="0056322C" w:rsidRDefault="0056322C">
      <w:r>
        <w:t>Bland</w:t>
      </w:r>
      <w:r w:rsidR="00851105">
        <w:t>t</w:t>
      </w:r>
      <w:r>
        <w:t xml:space="preserve"> de markante ændringer er, at fonde fremover kun kan stiftes, hvis </w:t>
      </w:r>
      <w:r w:rsidR="00AF1C20">
        <w:t xml:space="preserve">man kan rejse en kapital på 1 million kroner. Dette har i praksis sat en stopper for den række almindelige fonde, der ellers har været stiftet til forskellige formål, f.eks. for at opfylde velgørende eller almennyttige formål. </w:t>
      </w:r>
    </w:p>
    <w:p w:rsidR="00B1760D" w:rsidRDefault="00B1760D"/>
    <w:p w:rsidR="00F93980" w:rsidRDefault="00B1760D">
      <w:r>
        <w:t>Ændringen betyder ikke</w:t>
      </w:r>
      <w:r w:rsidR="00851105">
        <w:t>,</w:t>
      </w:r>
      <w:r>
        <w:t xml:space="preserve"> at allerede lovligt stiftede fonde fremover ophører, selvom de ikke længere opfylder de nye kapitalkrav. </w:t>
      </w:r>
      <w:r w:rsidR="00F93980">
        <w:t xml:space="preserve">Der vil derimod </w:t>
      </w:r>
      <w:r w:rsidR="005C0E04">
        <w:t>b</w:t>
      </w:r>
      <w:r w:rsidR="00F93980">
        <w:t>live</w:t>
      </w:r>
      <w:r w:rsidR="00851105">
        <w:t xml:space="preserve"> tal om</w:t>
      </w:r>
      <w:r w:rsidR="00F93980">
        <w:t xml:space="preserve"> en række ændrede retsstill</w:t>
      </w:r>
      <w:r w:rsidR="005C0E04">
        <w:t>ing</w:t>
      </w:r>
      <w:r w:rsidR="00F93980">
        <w:t>er og nødvendige tilpasninger.</w:t>
      </w:r>
    </w:p>
    <w:p w:rsidR="00F93980" w:rsidRDefault="00F93980"/>
    <w:p w:rsidR="00F93980" w:rsidRDefault="00F93980" w:rsidP="00F93980">
      <w:r>
        <w:t xml:space="preserve">De gamle fonde vil således ikke længere være omfattet af </w:t>
      </w:r>
      <w:r w:rsidR="00043B31">
        <w:t>F</w:t>
      </w:r>
      <w:r>
        <w:t xml:space="preserve">ondsbeskatningslovens regler, men derimod falde ind under </w:t>
      </w:r>
      <w:r w:rsidR="00043B31">
        <w:t>S</w:t>
      </w:r>
      <w:r>
        <w:t>elskabs</w:t>
      </w:r>
      <w:r w:rsidR="00043B31">
        <w:t>s</w:t>
      </w:r>
      <w:r>
        <w:t xml:space="preserve">katteloven. Der forsvinder dermed nogle fordele i form af </w:t>
      </w:r>
      <w:r w:rsidR="00851105">
        <w:t xml:space="preserve">fradrag for uddelinger, </w:t>
      </w:r>
      <w:r>
        <w:t>konsolideringsfradrag og andet, men i praksi</w:t>
      </w:r>
      <w:r w:rsidR="00043B31">
        <w:t>s</w:t>
      </w:r>
      <w:r>
        <w:t xml:space="preserve"> vil det næppe få ret stor betydning, idet </w:t>
      </w:r>
      <w:r w:rsidR="005C0E04">
        <w:t xml:space="preserve">de fleste indtægter i </w:t>
      </w:r>
      <w:r w:rsidR="00043B31">
        <w:t xml:space="preserve">de </w:t>
      </w:r>
      <w:r w:rsidR="005C0E04">
        <w:t>mindre fonde sædvanligvis ikke er erhvervsmæssige, og der vil så slet ikke blive tale om beskatning.</w:t>
      </w:r>
    </w:p>
    <w:p w:rsidR="005C0E04" w:rsidRDefault="005C0E04" w:rsidP="00F93980"/>
    <w:p w:rsidR="005C0E04" w:rsidRDefault="005C0E04" w:rsidP="00F93980">
      <w:r>
        <w:t>En anden virkning a</w:t>
      </w:r>
      <w:r w:rsidR="00043B31">
        <w:t>f</w:t>
      </w:r>
      <w:r>
        <w:t xml:space="preserve"> ændringen er, at fondene ikke længere er omfattet af </w:t>
      </w:r>
      <w:r w:rsidR="00FD53FE">
        <w:t xml:space="preserve">alle </w:t>
      </w:r>
      <w:r>
        <w:t>de detaljerede regler i Fondsloven.</w:t>
      </w:r>
      <w:r w:rsidR="00043B31">
        <w:t xml:space="preserve"> De, der har haft med sådanne mindre fonde at gøre, vil vide, at der efter Fondsloven er et ikke helt ubetydeligt bureaukrati m.h.t. indberetninger, tilladelser</w:t>
      </w:r>
      <w:r w:rsidR="00144B87">
        <w:t xml:space="preserve"> og andet. Det lyder derfor </w:t>
      </w:r>
      <w:r w:rsidR="00851105">
        <w:t>besnærende</w:t>
      </w:r>
      <w:r w:rsidR="00144B87">
        <w:t xml:space="preserve">, at man </w:t>
      </w:r>
      <w:r w:rsidR="00851105">
        <w:t xml:space="preserve">som udgangspunkt </w:t>
      </w:r>
      <w:r w:rsidR="00144B87">
        <w:t>ikke længere er omf</w:t>
      </w:r>
      <w:r w:rsidR="00E743B3">
        <w:t>at</w:t>
      </w:r>
      <w:r w:rsidR="00144B87">
        <w:t>tet af loven</w:t>
      </w:r>
      <w:r w:rsidR="005F0ABA">
        <w:t>,</w:t>
      </w:r>
      <w:r w:rsidR="00144B87">
        <w:t xml:space="preserve"> og derfor med et snuptag </w:t>
      </w:r>
      <w:r w:rsidR="00451DB3">
        <w:t xml:space="preserve">kan være </w:t>
      </w:r>
      <w:r w:rsidR="00144B87">
        <w:t xml:space="preserve">frit stillet. </w:t>
      </w:r>
    </w:p>
    <w:p w:rsidR="00144B87" w:rsidRDefault="00144B87" w:rsidP="00F93980"/>
    <w:p w:rsidR="005F0ABA" w:rsidRDefault="00144B87" w:rsidP="00F93980">
      <w:r>
        <w:t xml:space="preserve">Dette vil imidlertid være en stærkt forhastet konklusion. Det er nemlig således, at </w:t>
      </w:r>
      <w:r w:rsidR="00FD53FE">
        <w:t>dele af Fondsloven stadig vil være gældende</w:t>
      </w:r>
      <w:r w:rsidR="00451DB3">
        <w:t>,</w:t>
      </w:r>
      <w:r w:rsidR="00FD53FE">
        <w:t xml:space="preserve"> og man skal også respektere </w:t>
      </w:r>
      <w:r>
        <w:t xml:space="preserve">såkaldt almindelige fondsretlige regler. </w:t>
      </w:r>
      <w:r w:rsidR="005F0ABA">
        <w:t>Bland</w:t>
      </w:r>
      <w:r w:rsidR="008C4F41">
        <w:t>t</w:t>
      </w:r>
      <w:r w:rsidR="005F0ABA">
        <w:t xml:space="preserve"> </w:t>
      </w:r>
      <w:r w:rsidR="00FD53FE">
        <w:t xml:space="preserve">andet </w:t>
      </w:r>
      <w:r w:rsidR="005F0ABA">
        <w:t>kan nævnes:</w:t>
      </w:r>
    </w:p>
    <w:p w:rsidR="005F0ABA" w:rsidRDefault="005F0ABA" w:rsidP="00F93980"/>
    <w:p w:rsidR="005F0ABA" w:rsidRDefault="005F0ABA" w:rsidP="008C4F41">
      <w:pPr>
        <w:numPr>
          <w:ilvl w:val="0"/>
          <w:numId w:val="12"/>
        </w:numPr>
        <w:ind w:left="284" w:hanging="284"/>
      </w:pPr>
      <w:r>
        <w:t>Der skal uddele til formålet, og der må aldrig uddeles til stifteren.</w:t>
      </w:r>
    </w:p>
    <w:p w:rsidR="005F0ABA" w:rsidRDefault="005F0ABA" w:rsidP="008C4F41">
      <w:pPr>
        <w:numPr>
          <w:ilvl w:val="0"/>
          <w:numId w:val="12"/>
        </w:numPr>
        <w:ind w:left="284" w:hanging="284"/>
      </w:pPr>
      <w:r>
        <w:t>Den bundne kapital må ikke uddeles, medmindre det klart fremgår af vedtægten.</w:t>
      </w:r>
    </w:p>
    <w:p w:rsidR="005F0ABA" w:rsidRDefault="005F0ABA" w:rsidP="008C4F41">
      <w:pPr>
        <w:numPr>
          <w:ilvl w:val="0"/>
          <w:numId w:val="12"/>
        </w:numPr>
        <w:ind w:left="284" w:hanging="284"/>
      </w:pPr>
      <w:r>
        <w:t>Man skal forsat holde den bundne og frie kapital adskilt.</w:t>
      </w:r>
    </w:p>
    <w:p w:rsidR="005F0ABA" w:rsidRDefault="005F0ABA" w:rsidP="008C4F41">
      <w:pPr>
        <w:numPr>
          <w:ilvl w:val="0"/>
          <w:numId w:val="12"/>
        </w:numPr>
        <w:ind w:left="284" w:hanging="284"/>
      </w:pPr>
      <w:r>
        <w:t xml:space="preserve">Fondens kapital skal forsat investeres forsvarligt, men </w:t>
      </w:r>
      <w:r w:rsidR="008C4F41">
        <w:t xml:space="preserve">man </w:t>
      </w:r>
      <w:r>
        <w:t xml:space="preserve">er </w:t>
      </w:r>
      <w:r w:rsidR="008C4F41">
        <w:t xml:space="preserve">dog ikke </w:t>
      </w:r>
      <w:r>
        <w:t xml:space="preserve">længere underlagt </w:t>
      </w:r>
      <w:r w:rsidR="008C4F41">
        <w:t xml:space="preserve">den såkaldte </w:t>
      </w:r>
      <w:r>
        <w:t>anbringelsesbekendtgørelse.</w:t>
      </w:r>
    </w:p>
    <w:p w:rsidR="005F0ABA" w:rsidRDefault="005F0ABA" w:rsidP="008C4F41">
      <w:pPr>
        <w:numPr>
          <w:ilvl w:val="0"/>
          <w:numId w:val="12"/>
        </w:numPr>
        <w:ind w:left="284" w:hanging="284"/>
      </w:pPr>
      <w:r>
        <w:t>Fonden skal aflægge et regnskab.</w:t>
      </w:r>
    </w:p>
    <w:p w:rsidR="005F0ABA" w:rsidRDefault="005F0ABA" w:rsidP="00F93980"/>
    <w:p w:rsidR="00144B87" w:rsidRDefault="008C5825" w:rsidP="00F93980">
      <w:r>
        <w:t xml:space="preserve">Bestyrelsen </w:t>
      </w:r>
      <w:r w:rsidR="007B74C2">
        <w:t xml:space="preserve">kan </w:t>
      </w:r>
      <w:r>
        <w:t>heller ik</w:t>
      </w:r>
      <w:r w:rsidR="007B74C2">
        <w:t>ke</w:t>
      </w:r>
      <w:r>
        <w:t xml:space="preserve"> bare </w:t>
      </w:r>
      <w:r w:rsidR="007B74C2">
        <w:t xml:space="preserve">nedlægge en fond eller </w:t>
      </w:r>
      <w:r>
        <w:t xml:space="preserve">ændre på vedtægterne. Det kræver Fondsmyndighedes forudgående samtykke. </w:t>
      </w:r>
      <w:r w:rsidR="007B74C2">
        <w:t>Det bemærkes i denne forbindelse, at det især vil være meget vanskeligt at opnå tilladelse til at ændre formålsbestemmelsen</w:t>
      </w:r>
      <w:r w:rsidR="00431D97">
        <w:t>. V</w:t>
      </w:r>
      <w:r w:rsidR="007B74C2">
        <w:t>edtægtsændringer, der ændrer fonden</w:t>
      </w:r>
      <w:r w:rsidR="00E743B3">
        <w:t>s</w:t>
      </w:r>
      <w:r w:rsidR="007B74C2">
        <w:t xml:space="preserve"> kara</w:t>
      </w:r>
      <w:r w:rsidR="00E743B3">
        <w:t>k</w:t>
      </w:r>
      <w:r w:rsidR="007B74C2">
        <w:t xml:space="preserve">ter, vil også være vanskelige at </w:t>
      </w:r>
      <w:r w:rsidR="00E743B3">
        <w:t xml:space="preserve">opnå samtykke til. </w:t>
      </w:r>
    </w:p>
    <w:p w:rsidR="00431D97" w:rsidRDefault="00431D97" w:rsidP="00F93980"/>
    <w:p w:rsidR="00431D97" w:rsidRDefault="007D17F8" w:rsidP="00F93980">
      <w:r>
        <w:t xml:space="preserve">Alt i alt betyder </w:t>
      </w:r>
      <w:r w:rsidR="00451DB3">
        <w:t>ændringerne desuden</w:t>
      </w:r>
      <w:r>
        <w:t xml:space="preserve">, </w:t>
      </w:r>
      <w:r w:rsidR="00431D97" w:rsidRPr="00431D97">
        <w:t xml:space="preserve">at bestyrelsens ansvar </w:t>
      </w:r>
      <w:r>
        <w:t xml:space="preserve">i disse fonde </w:t>
      </w:r>
      <w:r w:rsidR="00431D97" w:rsidRPr="00431D97">
        <w:t>bliver større</w:t>
      </w:r>
      <w:r>
        <w:t xml:space="preserve">. </w:t>
      </w:r>
      <w:r w:rsidR="00431D97" w:rsidRPr="00431D97">
        <w:t>Det skyldes, at fondene ikke længere er under tilsyn fra Civilstyrelsen</w:t>
      </w:r>
      <w:r>
        <w:t xml:space="preserve"> som Fondsmyndighed</w:t>
      </w:r>
      <w:r w:rsidR="00431D97" w:rsidRPr="00431D97">
        <w:t>, og at det ikke er et krav, at fondens midler er anbragt i en forvaltningsafdeling.</w:t>
      </w:r>
      <w:r w:rsidR="00431D97">
        <w:t xml:space="preserve"> </w:t>
      </w:r>
    </w:p>
    <w:p w:rsidR="00F93980" w:rsidRDefault="00F93980"/>
    <w:p w:rsidR="00FD53FE" w:rsidRDefault="00762ED7" w:rsidP="00FD53FE">
      <w:r>
        <w:lastRenderedPageBreak/>
        <w:t>Viss</w:t>
      </w:r>
      <w:r w:rsidR="00F25D9A">
        <w:t>e</w:t>
      </w:r>
      <w:r>
        <w:t xml:space="preserve"> lettelser er der tale om. F</w:t>
      </w:r>
      <w:r w:rsidR="00FD53FE">
        <w:t xml:space="preserve">ondene har </w:t>
      </w:r>
      <w:r>
        <w:t xml:space="preserve">således ikke længere </w:t>
      </w:r>
      <w:r w:rsidR="00FD53FE">
        <w:t>pligt til at indberette uddelinger</w:t>
      </w:r>
      <w:r>
        <w:t>ne</w:t>
      </w:r>
      <w:r w:rsidR="00FD53FE">
        <w:t xml:space="preserve"> til SKAT.</w:t>
      </w:r>
      <w:r>
        <w:t xml:space="preserve"> I</w:t>
      </w:r>
      <w:r w:rsidR="00FD53FE">
        <w:t xml:space="preserve">midlertid </w:t>
      </w:r>
      <w:r>
        <w:t xml:space="preserve">bliver uddelingerne </w:t>
      </w:r>
      <w:r w:rsidR="00FD53FE">
        <w:t>ikke skattefrie</w:t>
      </w:r>
      <w:r w:rsidR="00F25D9A">
        <w:t>, og l</w:t>
      </w:r>
      <w:r w:rsidR="00FD53FE">
        <w:t>egatmod</w:t>
      </w:r>
      <w:r>
        <w:t>t</w:t>
      </w:r>
      <w:r w:rsidR="00FD53FE">
        <w:t xml:space="preserve">agerne </w:t>
      </w:r>
      <w:r w:rsidR="00F25D9A">
        <w:t xml:space="preserve">har pligt til </w:t>
      </w:r>
      <w:r w:rsidR="00FD53FE">
        <w:t xml:space="preserve">selv </w:t>
      </w:r>
      <w:r w:rsidR="00F25D9A">
        <w:t xml:space="preserve">at </w:t>
      </w:r>
      <w:r w:rsidR="00FD53FE">
        <w:t xml:space="preserve">opgive </w:t>
      </w:r>
      <w:r w:rsidR="00F25D9A">
        <w:t xml:space="preserve">de modtagne beløb </w:t>
      </w:r>
      <w:r w:rsidR="00FD53FE">
        <w:t>til SKAT</w:t>
      </w:r>
      <w:r w:rsidR="00F25D9A">
        <w:t>. B</w:t>
      </w:r>
      <w:r w:rsidR="00FD53FE">
        <w:t>estyrelse</w:t>
      </w:r>
      <w:r w:rsidR="00F25D9A">
        <w:t>n</w:t>
      </w:r>
      <w:r w:rsidR="00FD53FE">
        <w:t xml:space="preserve"> b</w:t>
      </w:r>
      <w:r w:rsidR="00F25D9A">
        <w:t>ø</w:t>
      </w:r>
      <w:r w:rsidR="00FD53FE">
        <w:t xml:space="preserve">r </w:t>
      </w:r>
      <w:r w:rsidR="00451DB3">
        <w:t xml:space="preserve">derfor </w:t>
      </w:r>
      <w:r w:rsidR="00FD53FE">
        <w:t>underrette legatmodtagerne om</w:t>
      </w:r>
      <w:r w:rsidR="00F25D9A">
        <w:t xml:space="preserve"> d</w:t>
      </w:r>
      <w:r w:rsidR="00FD53FE">
        <w:t>ette.</w:t>
      </w:r>
    </w:p>
    <w:p w:rsidR="00402EE9" w:rsidRDefault="00402EE9" w:rsidP="00FD53FE"/>
    <w:p w:rsidR="00402EE9" w:rsidRDefault="00402EE9" w:rsidP="00FD53FE">
      <w:r>
        <w:t xml:space="preserve">Der er efter de almindelige regler heller ikke længere pligt til at præstere et revideret regnskab, men dette har ofte ikke den store interesse, idet vedtægterne </w:t>
      </w:r>
      <w:r w:rsidR="00451DB3">
        <w:t xml:space="preserve">sædvanligvis </w:t>
      </w:r>
      <w:r>
        <w:t>vil kræve, at der aflægges et revideret regnskab.</w:t>
      </w:r>
    </w:p>
    <w:p w:rsidR="00770221" w:rsidRDefault="00770221" w:rsidP="00FD53FE"/>
    <w:p w:rsidR="00770221" w:rsidRDefault="00770221" w:rsidP="00FD53FE">
      <w:r>
        <w:t xml:space="preserve">Ved spørgsmål – kontakt advokat Svend Brorsen </w:t>
      </w:r>
      <w:hyperlink r:id="rId8" w:history="1">
        <w:r w:rsidRPr="00AC7AAC">
          <w:rPr>
            <w:rStyle w:val="Hyperlink"/>
          </w:rPr>
          <w:t>sbr@BBFadvokater.dk</w:t>
        </w:r>
      </w:hyperlink>
      <w:r>
        <w:t xml:space="preserve"> </w:t>
      </w:r>
      <w:bookmarkStart w:id="1" w:name="_GoBack"/>
      <w:bookmarkEnd w:id="1"/>
    </w:p>
    <w:p w:rsidR="00F93980" w:rsidRDefault="00F93980"/>
    <w:sectPr w:rsidR="00F93980" w:rsidSect="00F94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418" w:header="709" w:footer="709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F7" w:rsidRDefault="007F7CF7">
      <w:r>
        <w:separator/>
      </w:r>
    </w:p>
  </w:endnote>
  <w:endnote w:type="continuationSeparator" w:id="0">
    <w:p w:rsidR="007F7CF7" w:rsidRDefault="007F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F7" w:rsidRDefault="007F7C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F7" w:rsidRDefault="007F7C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F7" w:rsidRDefault="007F7C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F7" w:rsidRDefault="007F7CF7">
      <w:r>
        <w:separator/>
      </w:r>
    </w:p>
  </w:footnote>
  <w:footnote w:type="continuationSeparator" w:id="0">
    <w:p w:rsidR="007F7CF7" w:rsidRDefault="007F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F7" w:rsidRDefault="007F7CF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2A" w:rsidRDefault="00153E37">
    <w:pPr>
      <w:pStyle w:val="Sidehoved"/>
      <w:jc w:val="right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629920</wp:posOffset>
          </wp:positionH>
          <wp:positionV relativeFrom="page">
            <wp:posOffset>360045</wp:posOffset>
          </wp:positionV>
          <wp:extent cx="3162300" cy="628650"/>
          <wp:effectExtent l="0" t="0" r="0" b="0"/>
          <wp:wrapSquare wrapText="bothSides"/>
          <wp:docPr id="1" name="Billede 1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ulVe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22A">
      <w:t xml:space="preserve">- </w:t>
    </w:r>
    <w:r w:rsidR="00BE2CCD">
      <w:rPr>
        <w:rStyle w:val="Sidetal"/>
      </w:rPr>
      <w:fldChar w:fldCharType="begin"/>
    </w:r>
    <w:r w:rsidR="0022622A">
      <w:rPr>
        <w:rStyle w:val="Sidetal"/>
      </w:rPr>
      <w:instrText xml:space="preserve"> PAGE </w:instrText>
    </w:r>
    <w:r w:rsidR="00BE2CCD">
      <w:rPr>
        <w:rStyle w:val="Sidetal"/>
      </w:rPr>
      <w:fldChar w:fldCharType="separate"/>
    </w:r>
    <w:r w:rsidR="00770221">
      <w:rPr>
        <w:rStyle w:val="Sidetal"/>
        <w:noProof/>
      </w:rPr>
      <w:t>2</w:t>
    </w:r>
    <w:r w:rsidR="00BE2CCD">
      <w:rPr>
        <w:rStyle w:val="Sidetal"/>
      </w:rPr>
      <w:fldChar w:fldCharType="end"/>
    </w:r>
    <w:r w:rsidR="0022622A">
      <w:rPr>
        <w:rStyle w:val="Sideta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F7" w:rsidRDefault="007F7CF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FA0ACD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A0F412F"/>
    <w:multiLevelType w:val="hybridMultilevel"/>
    <w:tmpl w:val="C1B6DE48"/>
    <w:lvl w:ilvl="0" w:tplc="E1D2C9EA">
      <w:numFmt w:val="bullet"/>
      <w:lvlText w:val="•"/>
      <w:lvlJc w:val="left"/>
      <w:pPr>
        <w:ind w:left="1665" w:hanging="1305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048E"/>
    <w:multiLevelType w:val="hybridMultilevel"/>
    <w:tmpl w:val="C4DCADD6"/>
    <w:lvl w:ilvl="0" w:tplc="E1D2C9EA">
      <w:numFmt w:val="bullet"/>
      <w:lvlText w:val="•"/>
      <w:lvlJc w:val="left"/>
      <w:pPr>
        <w:ind w:left="1665" w:hanging="1305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36F"/>
    <w:multiLevelType w:val="hybridMultilevel"/>
    <w:tmpl w:val="30F8F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CF7"/>
    <w:rsid w:val="00035AF7"/>
    <w:rsid w:val="0003683D"/>
    <w:rsid w:val="0004033C"/>
    <w:rsid w:val="00043B31"/>
    <w:rsid w:val="000D5AC0"/>
    <w:rsid w:val="00144B87"/>
    <w:rsid w:val="00153E37"/>
    <w:rsid w:val="0017504C"/>
    <w:rsid w:val="001F7564"/>
    <w:rsid w:val="00204F6D"/>
    <w:rsid w:val="0022395F"/>
    <w:rsid w:val="0022622A"/>
    <w:rsid w:val="00241BD6"/>
    <w:rsid w:val="00402EE9"/>
    <w:rsid w:val="00431D97"/>
    <w:rsid w:val="00451DB3"/>
    <w:rsid w:val="0056322C"/>
    <w:rsid w:val="005A267C"/>
    <w:rsid w:val="005C0E04"/>
    <w:rsid w:val="005F0ABA"/>
    <w:rsid w:val="0072484A"/>
    <w:rsid w:val="00762E7B"/>
    <w:rsid w:val="00762ED7"/>
    <w:rsid w:val="00770221"/>
    <w:rsid w:val="00772004"/>
    <w:rsid w:val="007A3EB5"/>
    <w:rsid w:val="007B74C2"/>
    <w:rsid w:val="007D17F8"/>
    <w:rsid w:val="007F7CF7"/>
    <w:rsid w:val="00851105"/>
    <w:rsid w:val="008C4F41"/>
    <w:rsid w:val="008C5825"/>
    <w:rsid w:val="008D76A5"/>
    <w:rsid w:val="008F1B3B"/>
    <w:rsid w:val="0090119E"/>
    <w:rsid w:val="009C3FF6"/>
    <w:rsid w:val="00A34D5A"/>
    <w:rsid w:val="00AA1617"/>
    <w:rsid w:val="00AF1C20"/>
    <w:rsid w:val="00B1760D"/>
    <w:rsid w:val="00B332FB"/>
    <w:rsid w:val="00B62011"/>
    <w:rsid w:val="00BE2CCD"/>
    <w:rsid w:val="00C54BE7"/>
    <w:rsid w:val="00D269CA"/>
    <w:rsid w:val="00E743B3"/>
    <w:rsid w:val="00E74527"/>
    <w:rsid w:val="00F25D9A"/>
    <w:rsid w:val="00F93980"/>
    <w:rsid w:val="00F942DE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895C8CC-52C7-499D-B04F-9365195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C0"/>
    <w:pPr>
      <w:spacing w:line="28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0D5AC0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0D5AC0"/>
    <w:pPr>
      <w:keepNext/>
      <w:spacing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0D5AC0"/>
    <w:pPr>
      <w:keepNext/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0D5AC0"/>
    <w:pPr>
      <w:keepNext/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0D5AC0"/>
    <w:p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0D5AC0"/>
    <w:p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0D5AC0"/>
    <w:p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D5AC0"/>
    <w:p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D5AC0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0D5AC0"/>
    <w:pPr>
      <w:ind w:left="567" w:hanging="567"/>
    </w:pPr>
  </w:style>
  <w:style w:type="paragraph" w:customStyle="1" w:styleId="Billedlogo">
    <w:name w:val="Billedlogo"/>
    <w:basedOn w:val="Normal"/>
    <w:rsid w:val="000D5AC0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0D5AC0"/>
    <w:pPr>
      <w:framePr w:w="9639" w:hSpace="142" w:vSpace="142" w:wrap="around" w:vAnchor="page" w:hAnchor="margin" w:y="6578"/>
      <w:tabs>
        <w:tab w:val="left" w:pos="2552"/>
        <w:tab w:val="left" w:pos="5046"/>
        <w:tab w:val="left" w:pos="7655"/>
      </w:tabs>
      <w:spacing w:line="240" w:lineRule="auto"/>
    </w:pPr>
  </w:style>
  <w:style w:type="paragraph" w:customStyle="1" w:styleId="Bundlogo">
    <w:name w:val="Bundlogo"/>
    <w:basedOn w:val="Normal"/>
    <w:rsid w:val="000D5AC0"/>
    <w:pPr>
      <w:framePr w:w="1418" w:hSpace="142" w:vSpace="142" w:wrap="auto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0D5AC0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0D5AC0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0D5AC0"/>
    <w:pPr>
      <w:spacing w:before="480"/>
    </w:pPr>
  </w:style>
  <w:style w:type="paragraph" w:customStyle="1" w:styleId="Modtager">
    <w:name w:val="Modtager"/>
    <w:basedOn w:val="Normal"/>
    <w:rsid w:val="000D5AC0"/>
    <w:pPr>
      <w:framePr w:w="4536" w:hSpace="142" w:vSpace="142" w:wrap="around" w:vAnchor="page" w:hAnchor="margin" w:y="2949"/>
    </w:pPr>
  </w:style>
  <w:style w:type="paragraph" w:customStyle="1" w:styleId="Normaltal">
    <w:name w:val="Normal tal"/>
    <w:basedOn w:val="Normal"/>
    <w:rsid w:val="000D5AC0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0D5AC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D5AC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5AC0"/>
  </w:style>
  <w:style w:type="paragraph" w:customStyle="1" w:styleId="Tekstlogo">
    <w:name w:val="Tekstlogo"/>
    <w:basedOn w:val="Normal"/>
    <w:rsid w:val="000D5AC0"/>
    <w:pPr>
      <w:framePr w:w="1701" w:hSpace="142" w:vSpace="142" w:wrap="auto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rsid w:val="000D5AC0"/>
    <w:pPr>
      <w:pBdr>
        <w:bottom w:val="single" w:sz="4" w:space="1" w:color="auto"/>
      </w:pBdr>
      <w:tabs>
        <w:tab w:val="left" w:pos="709"/>
      </w:tabs>
      <w:ind w:left="709" w:hanging="709"/>
    </w:pPr>
    <w:rPr>
      <w:b/>
    </w:rPr>
  </w:style>
  <w:style w:type="paragraph" w:customStyle="1" w:styleId="Direktetlf">
    <w:name w:val="Direkte tlf."/>
    <w:basedOn w:val="Brevoplysninger"/>
    <w:rsid w:val="000D5AC0"/>
    <w:pPr>
      <w:framePr w:w="2268" w:vSpace="0" w:wrap="around" w:x="5047" w:y="6805"/>
      <w:tabs>
        <w:tab w:val="clear" w:pos="2552"/>
        <w:tab w:val="clear" w:pos="5046"/>
        <w:tab w:val="clear" w:pos="7655"/>
      </w:tabs>
    </w:pPr>
    <w:rPr>
      <w:sz w:val="20"/>
    </w:rPr>
  </w:style>
  <w:style w:type="character" w:styleId="Hyperlink">
    <w:name w:val="Hyperlink"/>
    <w:basedOn w:val="Standardskrifttypeiafsnit"/>
    <w:unhideWhenUsed/>
    <w:rsid w:val="00770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@BBFadvokater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_logo_1_1ny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SAGBLANK_logo_1_1nyt</Template>
  <TotalTime>46</TotalTime>
  <Pages>2</Pages>
  <Words>482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Brorsen</dc:creator>
  <cp:lastModifiedBy>Lonnie Nielsen</cp:lastModifiedBy>
  <cp:revision>4</cp:revision>
  <dcterms:created xsi:type="dcterms:W3CDTF">2015-06-18T11:10:00Z</dcterms:created>
  <dcterms:modified xsi:type="dcterms:W3CDTF">2015-07-06T07:38:00Z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01833</vt:lpwstr>
  </property>
  <property fmtid="{D5CDD505-2E9C-101B-9397-08002B2CF9AE}" pid="3" name="EmailAdresse1">
    <vt:lpwstr>sbr@advobang.dk</vt:lpwstr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4\Advosys\DOKUMENT\SBR\75\9901\6_1618.DOCX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